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color w:val="ff0000"/>
          <w:highlight w:val="white"/>
        </w:rPr>
      </w:pPr>
      <w:r w:rsidDel="00000000" w:rsidR="00000000" w:rsidRPr="00000000">
        <w:rPr>
          <w:rFonts w:ascii="Play" w:cs="Play" w:eastAsia="Play" w:hAnsi="Play"/>
          <w:b w:val="1"/>
          <w:bCs w:val="1"/>
          <w:color w:val="ff0000"/>
          <w:highlight w:val="yellow"/>
          <w:rtl w:val="0"/>
        </w:rPr>
        <w:t xml:space="preserve">(</w:t>
      </w:r>
      <w:r w:rsidDel="00000000" w:rsidR="00000000" w:rsidRPr="00000000">
        <w:rPr>
          <w:rFonts w:ascii="Play" w:cs="Play" w:eastAsia="Play" w:hAnsi="Play"/>
          <w:b w:val="1"/>
          <w:bCs w:val="1"/>
          <w:color w:val="ff0000"/>
          <w:highlight w:val="yellow"/>
          <w:u w:val="single"/>
          <w:rtl w:val="0"/>
        </w:rPr>
        <w:t xml:space="preserve">ATENÇÃO</w:t>
      </w:r>
      <w:r w:rsidDel="00000000" w:rsidR="00000000" w:rsidRPr="00000000">
        <w:rPr>
          <w:rFonts w:ascii="Play" w:cs="Play" w:eastAsia="Play" w:hAnsi="Play"/>
          <w:b w:val="1"/>
          <w:bCs w:val="1"/>
          <w:color w:val="ff0000"/>
          <w:highlight w:val="yellow"/>
          <w:rtl w:val="0"/>
        </w:rPr>
        <w:t xml:space="preserve">: Para baixar esse documento vá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highlight w:val="yellow"/>
          <w:rtl w:val="0"/>
        </w:rPr>
        <w:t xml:space="preserve">ao menu "Arquivo", depois em "Baixar ou Descarregar" e escolha a extensão do arquivo que desejar)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color w:val="ff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heading=h.vouoj0mgxkm2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heading=h.gjdgxs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ANEXO V</w:t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Formulário para Análise de Currículo</w:t>
      </w:r>
    </w:p>
    <w:p w:rsidR="00000000" w:rsidDel="00000000" w:rsidP="00000000" w:rsidRDefault="00000000" w:rsidRPr="00000000" w14:paraId="00000007">
      <w:pPr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Formulário para Análise de Currículo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Somente serão consideradas as informações acompanhadas de documentos comprobatórios escaneados e anexados.</w:t>
      </w:r>
    </w:p>
    <w:tbl>
      <w:tblPr>
        <w:tblStyle w:val="Table1"/>
        <w:tblW w:w="10170.0" w:type="dxa"/>
        <w:jc w:val="left"/>
        <w:tblInd w:w="-267.0" w:type="dxa"/>
        <w:tblLayout w:type="fixed"/>
        <w:tblLook w:val="0400"/>
      </w:tblPr>
      <w:tblGrid>
        <w:gridCol w:w="705"/>
        <w:gridCol w:w="8535"/>
        <w:gridCol w:w="930"/>
        <w:tblGridChange w:id="0">
          <w:tblGrid>
            <w:gridCol w:w="705"/>
            <w:gridCol w:w="8535"/>
            <w:gridCol w:w="93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1.FORMAÇÃO (PESO 10)</w:t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TITULAÇÃO, CURSOS DE ESPECIALIZAÇÃO, GRADUAÇÃO EXTRA OU PÓS-GRADUAÇÃO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Quantidade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Documentos comprobatórios devem indicar período, local, instituição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Graduação Extra, Aperfeiçoamento ou Especialização em áreas afins ao Programa de Biodiversidade e Conservação (1 ponto para cada)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Cursos com mais de 200 horas, em áreas afins ao Programa de Biodiversidade e Conservação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Mestrado, doutorado em cursos reconhecidos e/ou revalidados pelo MEC (máximo de uma pós-graduação, valendo 1 ponto)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2. PRODUÇÃO ACADÊMICA (PESO 50)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TRABALHOS PRODUZIDOS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Quantidade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Documentos comprobatórios devem indicar periódico ou evento, local, título, autores, número de páginas etc.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Apresentação de trabalhos/resumo em congressos ou eventos REGIONAIS (1 ponto por apresentação)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Apresentação de trabalhos/resumo em congressos profissionais NACIONAIS (1 ponto por apresentação)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Apresentação de trabalhos/resumo em congressos profissionais INTERNACIONAIS (1 ponto por apresentação)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Publicação de TRABALHOS COMPLETOS EM ANAIS de congresso NACIONAIS (1 ponto por publicação)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Publicação de TRABALHOS COMPLETOS EM ANAIS de congresso INTERNACIONAIS (1 ponto por publicação)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Publicação em periódico Classificado no Qualis A1-A2 (1 ponto por publicação) 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Publicação em periódico Classificado no Qualis A3-A4 (1 ponto por publicação) 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Publicação em periódico Classificado no Qualis B1-B2 (1 ponto por publicação) 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Publicação em periódico Classificado no Qualis B3-B4 (1 ponto por publicação) 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Publicação em periódicos Classificado no Qualis C ou não classificados (1 ponto por publicação) 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Publicação de livro ou capítulo de livro na área com corpo editorial (1 ponto por publicação)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Publicação de livro ou capítulo de livro em outra área sem corpo editorial (1 ponto por publicação)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3"/>
            <w:tcBorders>
              <w:top w:color="000000" w:space="0" w:sz="4" w:val="single"/>
              <w:bottom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* Para checar o Qualis, acessar 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“Classificação de Periódicos Quadriênio 2021-2024”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da Plataforma Sucupira, neste link: </w:t>
            </w:r>
          </w:p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  <w:color w:val="0000ff"/>
                <w:sz w:val="16"/>
                <w:szCs w:val="16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ff"/>
                <w:sz w:val="18"/>
                <w:szCs w:val="18"/>
                <w:u w:val="single"/>
                <w:rtl w:val="0"/>
              </w:rPr>
              <w:t xml:space="preserve">https://sucupira-legado.capes.gov.br/sucupira/public/consultas/coleta/veiculoPublicacaoQualis/listaConsultaGeralPeriodicos.jsf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color w:val="46788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  <w:color w:val="46788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3. ATIVIDADES DE PESQUISA (PESO 30)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Peso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FORMAÇÃO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Quantidade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Documentos comprobatórios devem indicar período, local, projeto, carga horária em horas, orientação, envolvimento etc.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Estágio voluntário, mínimo 120 horas (1 ponto para cada 120 horas)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Bolsa de iniciação científica ou similar (1 ponto por semestre letivo)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Bolsa de aperfeiçoamento ou similar (1 ponto por semestre letivo)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Participação em projeto de pesquisa ou extensão enquanto não bolsista (1 ponto por semestre) (limite máximo 10 pontos)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4. ATIVIDADES ACADÊMICAS E DE EXTENSÃO (PESO 10)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Documentos comprobatórios devem indicar evento, curso, carga horária em horas etc.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Quantidade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Participação em Semanas de Estudos de Graduação ou outros encontros regionais (1 ponto por participação)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Participação em congressos e simpósios (1 ponto por participação)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Curso, minicurso ou atividades como aluno em eventos científicos nacionais ou internacionais (1 ponto por 8 horas de participação) (limite máximo 10 pontos)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Outros cursos (nas áreas afins do Programa) 1 ponto por 8 horas de participação. Máximo de 10 pontos.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Ministrante de Curso, Minicurso ou palestras em eventos científicos nacionais ou internacionais (1 ponto por 8 horas de participação)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Monitoria em eventos científicos e de extensão (1 ponto por monitoria)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Atividades de docência (1 ponto por semestre) (Limite máximo 10 pontos)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Participação de Banca Examinadora de conclusão de curso (1 ponto por participação)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Comissão organizadora de eventos científicos/extensão (seminários, congressos etc.) (1 ponto por participação)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Monitoria de disciplina (1 ponto por participação)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Prêmios científicos (1 ponto por participação)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  <w:tr>
        <w:trPr>
          <w:cantSplit w:val="0"/>
          <w:trHeight w:val="226.771653543307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ind w:lef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Outros: (participar como ouvinte em palestras, por exemplo) (1 ponto por participação)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-113.38582677165356" w:type="dxa"/>
              <w:left w:w="-113.38582677165356" w:type="dxa"/>
              <w:bottom w:w="-113.38582677165356" w:type="dxa"/>
              <w:right w:w="-113.38582677165356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9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851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Play">
    <w:embedRegular w:fontKey="{00000000-0000-0000-0000-000000000000}" r:id="rId3" w:subsetted="0"/>
    <w:embedBold w:fontKey="{00000000-0000-0000-0000-000000000000}" r:id="rId4" w:subsetted="0"/>
  </w:font>
  <w:font w:name="Apto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spacing w:line="240" w:lineRule="auto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Serviço Público Federal</w:t>
    </w:r>
    <w:r w:rsidDel="00000000" w:rsidR="00000000" w:rsidRPr="00000000">
      <w:pict>
        <v:shape id="_x0000_s1025" style="position:absolute;left:0;text-align:left;margin-left:2.25pt;margin-top:-7.35pt;width:43.45pt;height:56.7pt;z-index:-251656192;mso-wrap-edited:f;mso-position-horizontal-relative:margin;mso-position-vertical-relative:text;mso-position-horizontal:absolute;mso-position-vertical:absolute;" type="#_x0000_t75">
          <v:imagedata r:id="rId1" o:title=""/>
          <w10:wrap/>
        </v:shape>
        <o:OLEObject DrawAspect="Content" r:id="rId2" ObjectID="_1793452905" ProgID="PBrush" ShapeID="_x0000_s1025" Type="Embed"/>
      </w:pic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4749800</wp:posOffset>
          </wp:positionH>
          <wp:positionV relativeFrom="paragraph">
            <wp:posOffset>144780</wp:posOffset>
          </wp:positionV>
          <wp:extent cx="1152000" cy="288000"/>
          <wp:effectExtent b="0" l="0" r="0" t="0"/>
          <wp:wrapNone/>
          <wp:docPr descr="Macintosh HD:Users:leandro:Dropbox:UFPA:Pós Graduação FCB:PPGBC-Altamira:logo_PPGBC sem_texto.png" id="318825968" name="image2.png"/>
          <a:graphic>
            <a:graphicData uri="http://schemas.openxmlformats.org/drawingml/2006/picture">
              <pic:pic>
                <pic:nvPicPr>
                  <pic:cNvPr descr="Macintosh HD:Users:leandro:Dropbox:UFPA:Pós Graduação FCB:PPGBC-Altamira:logo_PPGBC sem_texto.png"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2000" cy="2880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B">
    <w:pPr>
      <w:spacing w:line="240" w:lineRule="auto"/>
      <w:ind w:firstLine="1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Universidade Federal do Pará</w:t>
    </w:r>
  </w:p>
  <w:p w:rsidR="00000000" w:rsidDel="00000000" w:rsidP="00000000" w:rsidRDefault="00000000" w:rsidRPr="00000000" w14:paraId="0000009C">
    <w:pPr>
      <w:spacing w:line="240" w:lineRule="auto"/>
      <w:ind w:firstLine="1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Campus Universitário de Altamira</w:t>
    </w:r>
  </w:p>
  <w:p w:rsidR="00000000" w:rsidDel="00000000" w:rsidP="00000000" w:rsidRDefault="00000000" w:rsidRPr="00000000" w14:paraId="0000009D">
    <w:pPr>
      <w:spacing w:line="240" w:lineRule="auto"/>
      <w:ind w:left="-709" w:firstLine="706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PROGRAMA DE PÓS-GRADUAÇÃO EM BIODIVERSIDADE E CONSERVAÇÃO</w:t>
    </w:r>
  </w:p>
  <w:p w:rsidR="00000000" w:rsidDel="00000000" w:rsidP="00000000" w:rsidRDefault="00000000" w:rsidRPr="00000000" w14:paraId="0000009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i w:val="1"/>
      <w:iCs w:val="1"/>
      <w:color w:val="0f476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color w:val="0f476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59" w:lineRule="auto"/>
    </w:pPr>
    <w:rPr>
      <w:rFonts w:ascii="Aptos" w:cs="Aptos" w:eastAsia="Aptos" w:hAnsi="Aptos"/>
      <w:i w:val="1"/>
      <w:iCs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  <w:rsid w:val="0071700E"/>
    <w:pPr>
      <w:spacing w:after="0" w:line="240" w:lineRule="auto"/>
    </w:pPr>
    <w:rPr>
      <w:rFonts w:ascii="Times New Roman" w:cs="Times New Roman" w:eastAsia="Times New Roman" w:hAnsi="Times New Roman"/>
      <w:kern w:val="0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 w:val="1"/>
    <w:rsid w:val="0071700E"/>
    <w:pPr>
      <w:keepNext w:val="1"/>
      <w:keepLines w:val="1"/>
      <w:spacing w:after="80" w:before="360" w:line="259" w:lineRule="auto"/>
      <w:outlineLvl w:val="0"/>
    </w:pPr>
    <w:rPr>
      <w:rFonts w:asciiTheme="majorHAnsi" w:cstheme="majorBidi" w:eastAsiaTheme="majorEastAsia" w:hAnsiTheme="majorHAnsi"/>
      <w:color w:val="0f4761" w:themeColor="accent1" w:themeShade="0000BF"/>
      <w:kern w:val="2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 w:val="1"/>
    <w:unhideWhenUsed w:val="1"/>
    <w:qFormat w:val="1"/>
    <w:rsid w:val="0071700E"/>
    <w:pPr>
      <w:keepNext w:val="1"/>
      <w:keepLines w:val="1"/>
      <w:spacing w:after="80" w:before="160" w:line="259" w:lineRule="auto"/>
      <w:outlineLvl w:val="1"/>
    </w:pPr>
    <w:rPr>
      <w:rFonts w:asciiTheme="majorHAnsi" w:cstheme="majorBidi" w:eastAsiaTheme="majorEastAsia" w:hAnsiTheme="majorHAnsi"/>
      <w:color w:val="0f4761" w:themeColor="accent1" w:themeShade="0000BF"/>
      <w:kern w:val="2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 w:val="1"/>
    <w:unhideWhenUsed w:val="1"/>
    <w:qFormat w:val="1"/>
    <w:rsid w:val="0071700E"/>
    <w:pPr>
      <w:keepNext w:val="1"/>
      <w:keepLines w:val="1"/>
      <w:spacing w:after="80" w:before="160" w:line="259" w:lineRule="auto"/>
      <w:outlineLvl w:val="2"/>
    </w:pPr>
    <w:rPr>
      <w:rFonts w:asciiTheme="minorHAnsi" w:cstheme="majorBidi" w:eastAsiaTheme="majorEastAsia" w:hAnsiTheme="minorHAnsi"/>
      <w:color w:val="0f4761" w:themeColor="accent1" w:themeShade="0000BF"/>
      <w:kern w:val="2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 w:val="1"/>
    <w:unhideWhenUsed w:val="1"/>
    <w:qFormat w:val="1"/>
    <w:rsid w:val="0071700E"/>
    <w:pPr>
      <w:keepNext w:val="1"/>
      <w:keepLines w:val="1"/>
      <w:spacing w:after="40" w:before="80" w:line="259" w:lineRule="auto"/>
      <w:outlineLvl w:val="3"/>
    </w:pPr>
    <w:rPr>
      <w:rFonts w:asciiTheme="minorHAnsi" w:cstheme="majorBidi" w:eastAsiaTheme="majorEastAsia" w:hAnsiTheme="minorHAnsi"/>
      <w:i w:val="1"/>
      <w:iCs w:val="1"/>
      <w:color w:val="0f4761" w:themeColor="accent1" w:themeShade="0000BF"/>
      <w:kern w:val="2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 w:val="1"/>
    <w:unhideWhenUsed w:val="1"/>
    <w:qFormat w:val="1"/>
    <w:rsid w:val="0071700E"/>
    <w:pPr>
      <w:keepNext w:val="1"/>
      <w:keepLines w:val="1"/>
      <w:spacing w:after="40" w:before="80" w:line="259" w:lineRule="auto"/>
      <w:outlineLvl w:val="4"/>
    </w:pPr>
    <w:rPr>
      <w:rFonts w:asciiTheme="minorHAnsi" w:cstheme="majorBidi" w:eastAsiaTheme="majorEastAsia" w:hAnsiTheme="minorHAnsi"/>
      <w:color w:val="0f4761" w:themeColor="accent1" w:themeShade="0000BF"/>
      <w:kern w:val="2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 w:val="1"/>
    <w:unhideWhenUsed w:val="1"/>
    <w:qFormat w:val="1"/>
    <w:rsid w:val="0071700E"/>
    <w:pPr>
      <w:keepNext w:val="1"/>
      <w:keepLines w:val="1"/>
      <w:spacing w:before="40" w:line="259" w:lineRule="auto"/>
      <w:outlineLvl w:val="5"/>
    </w:pPr>
    <w:rPr>
      <w:rFonts w:asciiTheme="minorHAnsi" w:cstheme="majorBidi" w:eastAsiaTheme="majorEastAsia" w:hAnsiTheme="minorHAnsi"/>
      <w:i w:val="1"/>
      <w:iCs w:val="1"/>
      <w:color w:val="595959" w:themeColor="text1" w:themeTint="0000A6"/>
      <w:kern w:val="2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71700E"/>
    <w:pPr>
      <w:keepNext w:val="1"/>
      <w:keepLines w:val="1"/>
      <w:spacing w:before="40" w:line="259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71700E"/>
    <w:pPr>
      <w:keepNext w:val="1"/>
      <w:keepLines w:val="1"/>
      <w:spacing w:line="259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sz w:val="22"/>
      <w:szCs w:val="22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71700E"/>
    <w:pPr>
      <w:keepNext w:val="1"/>
      <w:keepLines w:val="1"/>
      <w:spacing w:line="259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sz w:val="22"/>
      <w:szCs w:val="22"/>
      <w:lang w:eastAsia="en-US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71700E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71700E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71700E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71700E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71700E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71700E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71700E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71700E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71700E"/>
    <w:rPr>
      <w:rFonts w:cstheme="majorBidi" w:eastAsiaTheme="majorEastAsia"/>
      <w:color w:val="272727" w:themeColor="text1" w:themeTint="0000D8"/>
    </w:rPr>
  </w:style>
  <w:style w:type="paragraph" w:styleId="Ttulo">
    <w:name w:val="Title"/>
    <w:basedOn w:val="Normal"/>
    <w:next w:val="Normal"/>
    <w:link w:val="TtuloChar"/>
    <w:uiPriority w:val="10"/>
    <w:qFormat w:val="1"/>
    <w:rsid w:val="0071700E"/>
    <w:pPr>
      <w:spacing w:after="80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  <w:lang w:eastAsia="en-US"/>
    </w:rPr>
  </w:style>
  <w:style w:type="character" w:styleId="TtuloChar" w:customStyle="1">
    <w:name w:val="Título Char"/>
    <w:basedOn w:val="Fontepargpadro"/>
    <w:link w:val="Ttulo"/>
    <w:uiPriority w:val="10"/>
    <w:rsid w:val="0071700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 w:val="1"/>
    <w:rsid w:val="0071700E"/>
    <w:pPr>
      <w:numPr>
        <w:ilvl w:val="1"/>
      </w:numPr>
      <w:spacing w:after="160" w:line="259" w:lineRule="auto"/>
    </w:pPr>
    <w:rPr>
      <w:rFonts w:asciiTheme="minorHAnsi" w:cstheme="majorBidi" w:eastAsiaTheme="majorEastAsia" w:hAnsiTheme="minorHAnsi"/>
      <w:color w:val="595959" w:themeColor="text1" w:themeTint="0000A6"/>
      <w:spacing w:val="15"/>
      <w:kern w:val="2"/>
      <w:sz w:val="28"/>
      <w:szCs w:val="28"/>
      <w:lang w:eastAsia="en-US"/>
    </w:rPr>
  </w:style>
  <w:style w:type="character" w:styleId="SubttuloChar" w:customStyle="1">
    <w:name w:val="Subtítulo Char"/>
    <w:basedOn w:val="Fontepargpadro"/>
    <w:link w:val="Subttulo"/>
    <w:uiPriority w:val="11"/>
    <w:rsid w:val="0071700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71700E"/>
    <w:pPr>
      <w:spacing w:after="160" w:before="160" w:line="259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sz w:val="22"/>
      <w:szCs w:val="22"/>
      <w:lang w:eastAsia="en-US"/>
    </w:rPr>
  </w:style>
  <w:style w:type="character" w:styleId="CitaoChar" w:customStyle="1">
    <w:name w:val="Citação Char"/>
    <w:basedOn w:val="Fontepargpadro"/>
    <w:link w:val="Citao"/>
    <w:uiPriority w:val="29"/>
    <w:rsid w:val="0071700E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71700E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kern w:val="2"/>
      <w:sz w:val="22"/>
      <w:szCs w:val="22"/>
      <w:lang w:eastAsia="en-US"/>
    </w:rPr>
  </w:style>
  <w:style w:type="character" w:styleId="nfaseIntensa">
    <w:name w:val="Intense Emphasis"/>
    <w:basedOn w:val="Fontepargpadro"/>
    <w:uiPriority w:val="21"/>
    <w:qFormat w:val="1"/>
    <w:rsid w:val="0071700E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71700E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59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sz w:val="22"/>
      <w:szCs w:val="22"/>
      <w:lang w:eastAsia="en-US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71700E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71700E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71700E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71700E"/>
    <w:rPr>
      <w:rFonts w:ascii="Times New Roman" w:cs="Times New Roman" w:eastAsia="Times New Roman" w:hAnsi="Times New Roman"/>
      <w:kern w:val="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 w:val="1"/>
    <w:rsid w:val="0071700E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71700E"/>
    <w:rPr>
      <w:rFonts w:ascii="Times New Roman" w:cs="Times New Roman" w:eastAsia="Times New Roman" w:hAnsi="Times New Roman"/>
      <w:kern w:val="0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 w:val="1"/>
    <w:rsid w:val="00653177"/>
    <w:rPr>
      <w:color w:val="467886" w:themeColor="hyperlink"/>
      <w:u w:val="single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3" Type="http://schemas.openxmlformats.org/officeDocument/2006/relationships/font" Target="fonts/Play-regular.ttf"/><Relationship Id="rId4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QLnMvgXFzA65H3nH+4oTds4CCA==">CgMxLjAyDmgudm91b2owbWd4a20yMghoLmdqZGd4czgAciExOW1TTWN5MlNfYnZPY0ZDX2F5aVFQTnF3S1FPRHVHTzg=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2024-11-18T19:35:00Z</dcterms:created>
  <dc:creator>Miquéias Calvi - UFPA</dc:creator>
</cp:coreProperties>
</file>